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B9" w:rsidRPr="00480291" w:rsidRDefault="00DA1DB9" w:rsidP="00DA1DB9">
      <w:pPr>
        <w:jc w:val="center"/>
        <w:rPr>
          <w:rFonts w:ascii="Avenir Book" w:hAnsi="Avenir Book"/>
          <w:sz w:val="28"/>
        </w:rPr>
      </w:pPr>
      <w:bookmarkStart w:id="0" w:name="_Hlk517367334"/>
      <w:r w:rsidRPr="00480291">
        <w:rPr>
          <w:rFonts w:ascii="Avenir Book" w:hAnsi="Avenir Book"/>
          <w:noProof/>
          <w:sz w:val="28"/>
          <w:lang w:eastAsia="it-IT"/>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-1143000</wp:posOffset>
            </wp:positionV>
            <wp:extent cx="1948815" cy="889000"/>
            <wp:effectExtent l="25400" t="0" r="6985" b="0"/>
            <wp:wrapNone/>
            <wp:docPr id="7" name="Immagine 0" descr="logo_C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P.jpg"/>
                    <pic:cNvPicPr/>
                  </pic:nvPicPr>
                  <pic:blipFill>
                    <a:blip r:embed="rId4"/>
                    <a:stretch>
                      <a:fillRect/>
                    </a:stretch>
                  </pic:blipFill>
                  <pic:spPr>
                    <a:xfrm>
                      <a:off x="0" y="0"/>
                      <a:ext cx="1948815" cy="889000"/>
                    </a:xfrm>
                    <a:prstGeom prst="rect">
                      <a:avLst/>
                    </a:prstGeom>
                  </pic:spPr>
                </pic:pic>
              </a:graphicData>
            </a:graphic>
          </wp:anchor>
        </w:drawing>
      </w:r>
      <w:r w:rsidRPr="00480291">
        <w:rPr>
          <w:rFonts w:ascii="Avenir Book" w:hAnsi="Avenir Book"/>
          <w:noProof/>
          <w:sz w:val="28"/>
          <w:lang w:eastAsia="it-IT"/>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-1028700</wp:posOffset>
            </wp:positionV>
            <wp:extent cx="2844800" cy="723900"/>
            <wp:effectExtent l="25400" t="0" r="0"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2844800" cy="723900"/>
                    </a:xfrm>
                    <a:prstGeom prst="rect">
                      <a:avLst/>
                    </a:prstGeom>
                    <a:noFill/>
                    <a:ln w="9525">
                      <a:noFill/>
                      <a:miter lim="800000"/>
                      <a:headEnd/>
                      <a:tailEnd/>
                    </a:ln>
                  </pic:spPr>
                </pic:pic>
              </a:graphicData>
            </a:graphic>
          </wp:anchor>
        </w:drawing>
      </w:r>
    </w:p>
    <w:p w:rsidR="00DA1DB9" w:rsidRPr="00480291" w:rsidRDefault="00DA1DB9" w:rsidP="00DA1DB9">
      <w:pPr>
        <w:ind w:left="3540"/>
        <w:jc w:val="right"/>
        <w:rPr>
          <w:rFonts w:ascii="Avenir Book" w:hAnsi="Avenir Book"/>
          <w:sz w:val="28"/>
        </w:rPr>
      </w:pPr>
      <w:r w:rsidRPr="00480291">
        <w:rPr>
          <w:rFonts w:ascii="Avenir Book" w:hAnsi="Avenir Book"/>
          <w:sz w:val="28"/>
        </w:rPr>
        <w:t xml:space="preserve">Padova, </w:t>
      </w:r>
      <w:r w:rsidR="00480291">
        <w:rPr>
          <w:rFonts w:ascii="Avenir Book" w:hAnsi="Avenir Book"/>
          <w:sz w:val="28"/>
        </w:rPr>
        <w:t>3 settembre</w:t>
      </w:r>
      <w:r w:rsidRPr="00480291">
        <w:rPr>
          <w:rFonts w:ascii="Avenir Book" w:hAnsi="Avenir Book"/>
          <w:sz w:val="28"/>
        </w:rPr>
        <w:t xml:space="preserve"> 2019</w:t>
      </w:r>
    </w:p>
    <w:p w:rsidR="00DA1DB9" w:rsidRPr="00480291" w:rsidRDefault="00392E11" w:rsidP="00DA1DB9">
      <w:pPr>
        <w:jc w:val="left"/>
        <w:rPr>
          <w:rFonts w:ascii="Avenir Book" w:hAnsi="Avenir Book"/>
          <w:sz w:val="28"/>
        </w:rPr>
      </w:pPr>
      <w:r w:rsidRPr="00480291">
        <w:rPr>
          <w:rFonts w:ascii="Avenir Book" w:hAnsi="Avenir Book"/>
          <w:sz w:val="28"/>
        </w:rPr>
        <w:t>SCHEDA DI APPROFONDIMENTO</w:t>
      </w:r>
    </w:p>
    <w:p w:rsidR="00392E11" w:rsidRPr="00480291" w:rsidRDefault="00392E11" w:rsidP="00392E11">
      <w:pPr>
        <w:rPr>
          <w:rFonts w:ascii="Avenir Book" w:hAnsi="Avenir Book"/>
          <w:b/>
          <w:sz w:val="28"/>
        </w:rPr>
      </w:pPr>
      <w:bookmarkStart w:id="1" w:name="_GoBack"/>
      <w:bookmarkEnd w:id="1"/>
    </w:p>
    <w:p w:rsidR="00392E11" w:rsidRPr="00480291" w:rsidRDefault="00392E11" w:rsidP="00392E11">
      <w:pPr>
        <w:rPr>
          <w:rFonts w:ascii="Avenir Book" w:hAnsi="Avenir Book"/>
          <w:sz w:val="28"/>
        </w:rPr>
      </w:pPr>
    </w:p>
    <w:p w:rsidR="00392E11" w:rsidRPr="00480291" w:rsidRDefault="00392E11" w:rsidP="00392E11">
      <w:pPr>
        <w:rPr>
          <w:rFonts w:ascii="Avenir Book" w:hAnsi="Avenir Book"/>
          <w:b/>
          <w:sz w:val="28"/>
        </w:rPr>
      </w:pPr>
      <w:r w:rsidRPr="00480291">
        <w:rPr>
          <w:rFonts w:ascii="Avenir Book" w:hAnsi="Avenir Book"/>
          <w:b/>
          <w:sz w:val="28"/>
        </w:rPr>
        <w:t>Bruckner, Messa n. 2</w:t>
      </w:r>
    </w:p>
    <w:p w:rsidR="00392E11" w:rsidRPr="00480291" w:rsidRDefault="00392E11" w:rsidP="00392E11">
      <w:pPr>
        <w:rPr>
          <w:rFonts w:ascii="Avenir Book" w:hAnsi="Avenir Book"/>
        </w:rPr>
      </w:pPr>
      <w:r w:rsidRPr="00480291">
        <w:rPr>
          <w:rFonts w:ascii="Avenir Book" w:hAnsi="Avenir Book"/>
        </w:rPr>
        <w:t>Composta a Linz nel 1866 mentre Bruckner era attivo come organista titolare della Cattedrale, la Messa in mi minore fu rivista più volte dal compositore la cui grandezza, raccolta soprattutto nelle Nove sinfonie, ha acceso in questi ultimi anni un rinnovato interesse. Non deve essere sottovalutata l’umiltà di Bruckner in quanto persona credente, con marcati tratti di timidezza, oltre che sincero osservante delle pratiche religiose. Le Messe da lui composte, e in particolare le ultime tre, rispettano infatti la destinazione liturgica nonostante presentino caratteristiche assai personali, legate tanto alla musica del passato, sulla scia della lezione di Pierluigi da Palestrina, quanto alla grande tradizione viennese, benché</w:t>
      </w:r>
      <w:r w:rsidR="00EB0500">
        <w:rPr>
          <w:rFonts w:ascii="Avenir Book" w:hAnsi="Avenir Book"/>
        </w:rPr>
        <w:t xml:space="preserve"> non</w:t>
      </w:r>
      <w:r w:rsidRPr="00480291">
        <w:rPr>
          <w:rFonts w:ascii="Avenir Book" w:hAnsi="Avenir Book"/>
        </w:rPr>
        <w:t xml:space="preserve"> possano ritenersi assimilabili al movimento ceciliano, che prendeva vita in Germania proprio in quegl’anni con il compito di riportare la musica sacra a una originaria semplicità.</w:t>
      </w:r>
    </w:p>
    <w:p w:rsidR="00392E11" w:rsidRPr="00480291" w:rsidRDefault="00392E11" w:rsidP="00392E11">
      <w:pPr>
        <w:rPr>
          <w:rFonts w:ascii="Avenir Book" w:hAnsi="Avenir Book"/>
        </w:rPr>
      </w:pPr>
      <w:r w:rsidRPr="00480291">
        <w:rPr>
          <w:rFonts w:ascii="Avenir Book" w:hAnsi="Avenir Book"/>
        </w:rPr>
        <w:t xml:space="preserve">Delle varie parti che costituiscono la Messa in mi minore, il </w:t>
      </w:r>
      <w:r w:rsidRPr="00480291">
        <w:rPr>
          <w:rFonts w:ascii="Avenir Book" w:hAnsi="Avenir Book"/>
          <w:i/>
        </w:rPr>
        <w:t>Kyrie</w:t>
      </w:r>
      <w:r w:rsidRPr="00480291">
        <w:rPr>
          <w:rFonts w:ascii="Avenir Book" w:hAnsi="Avenir Book"/>
        </w:rPr>
        <w:t xml:space="preserve">, il Sanctus e la sezione </w:t>
      </w:r>
      <w:r w:rsidRPr="00480291">
        <w:rPr>
          <w:rFonts w:ascii="Avenir Book" w:hAnsi="Avenir Book"/>
          <w:i/>
        </w:rPr>
        <w:t>Et incarnatus est d</w:t>
      </w:r>
      <w:r w:rsidRPr="00480291">
        <w:rPr>
          <w:rFonts w:ascii="Avenir Book" w:hAnsi="Avenir Book"/>
        </w:rPr>
        <w:t>el Credo sono marcatamente corali, con una solido intreccio contrappuntistico. Nel Gloria, Credo e nell’Agnus Dei prevale invece una concezione più lirica.</w:t>
      </w:r>
    </w:p>
    <w:p w:rsidR="00392E11" w:rsidRPr="00480291" w:rsidRDefault="00392E11" w:rsidP="00392E11">
      <w:pPr>
        <w:rPr>
          <w:rFonts w:ascii="Avenir Book" w:hAnsi="Avenir Book"/>
          <w:sz w:val="28"/>
        </w:rPr>
      </w:pPr>
    </w:p>
    <w:p w:rsidR="00392E11" w:rsidRPr="00480291" w:rsidRDefault="00392E11" w:rsidP="00392E11">
      <w:pPr>
        <w:rPr>
          <w:rFonts w:ascii="Avenir Book" w:hAnsi="Avenir Book"/>
          <w:b/>
          <w:i/>
          <w:sz w:val="28"/>
        </w:rPr>
      </w:pPr>
      <w:r w:rsidRPr="00480291">
        <w:rPr>
          <w:rFonts w:ascii="Avenir Book" w:hAnsi="Avenir Book"/>
          <w:b/>
          <w:sz w:val="28"/>
        </w:rPr>
        <w:t xml:space="preserve">Hindemith, </w:t>
      </w:r>
      <w:r w:rsidRPr="00480291">
        <w:rPr>
          <w:rFonts w:ascii="Avenir Book" w:hAnsi="Avenir Book"/>
          <w:b/>
          <w:i/>
          <w:sz w:val="28"/>
        </w:rPr>
        <w:t>Das Marienleben</w:t>
      </w:r>
    </w:p>
    <w:p w:rsidR="00392E11" w:rsidRPr="00DC33A9" w:rsidRDefault="00392E11" w:rsidP="00392E11">
      <w:pPr>
        <w:rPr>
          <w:rFonts w:ascii="Avenir Book" w:hAnsi="Avenir Book"/>
          <w:sz w:val="20"/>
          <w:szCs w:val="20"/>
          <w:lang w:eastAsia="it-IT"/>
        </w:rPr>
      </w:pPr>
      <w:r w:rsidRPr="00480291">
        <w:rPr>
          <w:rFonts w:ascii="Avenir Book" w:hAnsi="Avenir Book"/>
        </w:rPr>
        <w:t xml:space="preserve">Nel 1912, nei pressi di Trieste, Rilke scrisse quindici poesie ripercorrendo i momenti salienti della vita di Maria, come l’hanno tramandata le narrazioni evangeliche canoniche e apocrife, e come si è impressa nell’immaginario popolare e nell’iconografia cristiana. </w:t>
      </w:r>
      <w:r w:rsidR="00DC33A9" w:rsidRPr="00DC33A9">
        <w:rPr>
          <w:rFonts w:ascii="Avenir Book" w:hAnsi="Avenir Book"/>
          <w:color w:val="000000"/>
          <w:lang w:eastAsia="it-IT"/>
        </w:rPr>
        <w:t>In una lettera, Rilke dichiara di essersi ispirato</w:t>
      </w:r>
      <w:r w:rsidRPr="00DC33A9">
        <w:rPr>
          <w:rFonts w:ascii="Avenir Book" w:hAnsi="Avenir Book"/>
        </w:rPr>
        <w:t xml:space="preserve"> a un manuale di pittura oltre che a un dipinto di Tintoretto che si trova all’interno della chiesa della Madonna dell’Orto a Venezia.</w:t>
      </w:r>
    </w:p>
    <w:p w:rsidR="00392E11" w:rsidRPr="00DC33A9" w:rsidRDefault="00392E11" w:rsidP="00392E11">
      <w:pPr>
        <w:rPr>
          <w:rFonts w:ascii="Avenir Book" w:hAnsi="Avenir Book"/>
        </w:rPr>
      </w:pPr>
      <w:r w:rsidRPr="00DC33A9">
        <w:rPr>
          <w:rFonts w:ascii="Avenir Book" w:hAnsi="Avenir Book"/>
        </w:rPr>
        <w:t xml:space="preserve">Solo dieci anni più tardi Paul Hindemith mise in musica le quindici poesie di </w:t>
      </w:r>
      <w:r w:rsidRPr="00DC33A9">
        <w:rPr>
          <w:rFonts w:ascii="Avenir Book" w:hAnsi="Avenir Book"/>
          <w:i/>
        </w:rPr>
        <w:t xml:space="preserve">Das Marienleben </w:t>
      </w:r>
      <w:r w:rsidRPr="00DC33A9">
        <w:rPr>
          <w:rFonts w:ascii="Avenir Book" w:hAnsi="Avenir Book"/>
        </w:rPr>
        <w:t xml:space="preserve">di Rilke, quindici come i misteri del Rosario. </w:t>
      </w:r>
    </w:p>
    <w:p w:rsidR="00392E11" w:rsidRPr="00480291" w:rsidRDefault="00392E11" w:rsidP="00392E11">
      <w:pPr>
        <w:rPr>
          <w:rFonts w:ascii="Avenir Book" w:hAnsi="Avenir Book"/>
        </w:rPr>
      </w:pPr>
      <w:r w:rsidRPr="00480291">
        <w:rPr>
          <w:rFonts w:ascii="Avenir Book" w:hAnsi="Avenir Book"/>
        </w:rPr>
        <w:t xml:space="preserve">Diversamente dalla versione per voce e pianoforte, quella per voce e orchestra è raramente eseguita e mette in scena la donna-Maria, colei che ha risposto in tutta libertà a una chiamata per un verso unica, e per l’altro comune a tutti gli esseri umani. Il percorso si articola attraverso </w:t>
      </w:r>
      <w:r w:rsidRPr="00480291">
        <w:rPr>
          <w:rFonts w:ascii="Avenir Book" w:hAnsi="Avenir Book"/>
          <w:i/>
        </w:rPr>
        <w:t>La Nascita di Maria</w:t>
      </w:r>
      <w:r w:rsidRPr="00480291">
        <w:rPr>
          <w:rFonts w:ascii="Avenir Book" w:hAnsi="Avenir Book"/>
        </w:rPr>
        <w:t xml:space="preserve"> (Geburt Mariae), il </w:t>
      </w:r>
      <w:r w:rsidRPr="00480291">
        <w:rPr>
          <w:rFonts w:ascii="Avenir Book" w:hAnsi="Avenir Book"/>
          <w:i/>
        </w:rPr>
        <w:t>Sospetto di Giuseppe</w:t>
      </w:r>
      <w:r w:rsidRPr="00480291">
        <w:rPr>
          <w:rFonts w:ascii="Avenir Book" w:hAnsi="Avenir Book"/>
        </w:rPr>
        <w:t xml:space="preserve"> (Argwohn Josephs), la </w:t>
      </w:r>
      <w:r w:rsidRPr="00480291">
        <w:rPr>
          <w:rFonts w:ascii="Avenir Book" w:hAnsi="Avenir Book"/>
          <w:i/>
        </w:rPr>
        <w:t>Nascita di Cristo</w:t>
      </w:r>
      <w:r w:rsidRPr="00480291">
        <w:rPr>
          <w:rFonts w:ascii="Avenir Book" w:hAnsi="Avenir Book"/>
        </w:rPr>
        <w:t xml:space="preserve"> (Geburt Christi), la </w:t>
      </w:r>
      <w:r w:rsidRPr="00480291">
        <w:rPr>
          <w:rFonts w:ascii="Avenir Book" w:hAnsi="Avenir Book"/>
          <w:i/>
        </w:rPr>
        <w:t>Sosta nella fuga in Egitto</w:t>
      </w:r>
      <w:r w:rsidRPr="00480291">
        <w:rPr>
          <w:rFonts w:ascii="Avenir Book" w:hAnsi="Avenir Book"/>
        </w:rPr>
        <w:t xml:space="preserve"> (Rast auf der Flucht in Aegypten), </w:t>
      </w:r>
      <w:r w:rsidRPr="00480291">
        <w:rPr>
          <w:rFonts w:ascii="Avenir Book" w:hAnsi="Avenir Book"/>
          <w:i/>
        </w:rPr>
        <w:t>Prima della Passione</w:t>
      </w:r>
      <w:r w:rsidRPr="00480291">
        <w:rPr>
          <w:rFonts w:ascii="Avenir Book" w:hAnsi="Avenir Book"/>
        </w:rPr>
        <w:t xml:space="preserve"> (Vor der Passion), </w:t>
      </w:r>
      <w:r w:rsidRPr="00480291">
        <w:rPr>
          <w:rFonts w:ascii="Avenir Book" w:hAnsi="Avenir Book"/>
          <w:i/>
        </w:rPr>
        <w:t>Della morte di Maria</w:t>
      </w:r>
      <w:r w:rsidRPr="00480291">
        <w:rPr>
          <w:rFonts w:ascii="Avenir Book" w:hAnsi="Avenir Book"/>
        </w:rPr>
        <w:t xml:space="preserve"> (Vom Tode Mariae – III).</w:t>
      </w:r>
    </w:p>
    <w:p w:rsidR="00392E11" w:rsidRPr="00480291" w:rsidRDefault="00392E11" w:rsidP="00392E11">
      <w:pPr>
        <w:rPr>
          <w:rFonts w:ascii="Avenir Book" w:hAnsi="Avenir Book"/>
        </w:rPr>
      </w:pPr>
      <w:r w:rsidRPr="00480291">
        <w:rPr>
          <w:rFonts w:ascii="Avenir Book" w:hAnsi="Avenir Book"/>
        </w:rPr>
        <w:t>Benché non si tratti di musica sacra nel senso liturgico o devozionale, questi testi permettono comunque all’ascoltatore attento di entrare in una storia insieme umana e divina.</w:t>
      </w:r>
    </w:p>
    <w:p w:rsidR="00480291" w:rsidRDefault="00392E11" w:rsidP="00392E11">
      <w:pPr>
        <w:rPr>
          <w:rFonts w:ascii="Avenir Book" w:hAnsi="Avenir Book"/>
        </w:rPr>
      </w:pPr>
      <w:r w:rsidRPr="00480291">
        <w:rPr>
          <w:rFonts w:ascii="Avenir Book" w:hAnsi="Avenir Book"/>
        </w:rPr>
        <w:t>Al di là del labile limite tra musica profana e sacra, il bello risiede nell’incontro, nello scambio e nel passaggio da un universo all’altro. È caratteristica della musica essere libera da scopi prefissati, come sostiene lo stesso Rilke in una poesia del 1925: «Tu, musica: acqua alla nostra fontana, / raggio che cade, tu suono che specchia, / che ti desti beata al tocco del risveglio, / tu quiete che il puro afflusso rinnova, / Tu più di noi…, tu da qualsiasi fine / liberata…»</w:t>
      </w:r>
      <w:r w:rsidR="00480291" w:rsidRPr="00480291">
        <w:rPr>
          <w:rFonts w:ascii="Avenir Book" w:hAnsi="Avenir Book"/>
        </w:rPr>
        <w:t>.</w:t>
      </w:r>
    </w:p>
    <w:p w:rsidR="00480291" w:rsidRDefault="00480291" w:rsidP="00392E11">
      <w:pPr>
        <w:rPr>
          <w:rFonts w:ascii="Avenir Book" w:hAnsi="Avenir Book"/>
        </w:rPr>
      </w:pPr>
    </w:p>
    <w:p w:rsidR="00392E11" w:rsidRPr="00480291" w:rsidRDefault="00392E11" w:rsidP="00392E11">
      <w:pPr>
        <w:rPr>
          <w:rFonts w:ascii="Avenir Book" w:hAnsi="Avenir Book"/>
        </w:rPr>
      </w:pPr>
    </w:p>
    <w:p w:rsidR="00392E11" w:rsidRPr="00480291" w:rsidRDefault="00392E11" w:rsidP="00392E11">
      <w:pPr>
        <w:rPr>
          <w:rFonts w:ascii="Avenir Book" w:hAnsi="Avenir Book"/>
          <w:b/>
          <w:sz w:val="28"/>
        </w:rPr>
      </w:pPr>
      <w:r w:rsidRPr="00480291">
        <w:rPr>
          <w:rFonts w:ascii="Avenir Book" w:hAnsi="Avenir Book"/>
          <w:b/>
          <w:sz w:val="28"/>
        </w:rPr>
        <w:t xml:space="preserve">Uvietta, </w:t>
      </w:r>
      <w:r w:rsidRPr="00480291">
        <w:rPr>
          <w:rFonts w:ascii="Avenir Book" w:hAnsi="Avenir Book"/>
          <w:b/>
          <w:i/>
          <w:sz w:val="28"/>
        </w:rPr>
        <w:t>Sequentia</w:t>
      </w:r>
      <w:r w:rsidRPr="00480291">
        <w:rPr>
          <w:rFonts w:ascii="Avenir Book" w:hAnsi="Avenir Book"/>
          <w:b/>
          <w:sz w:val="28"/>
        </w:rPr>
        <w:t xml:space="preserve"> per organo, registrante e orchestra d’archi (2019)</w:t>
      </w:r>
    </w:p>
    <w:p w:rsidR="00392E11" w:rsidRPr="00480291" w:rsidRDefault="00392E11" w:rsidP="00392E11">
      <w:pPr>
        <w:rPr>
          <w:rFonts w:ascii="Avenir Book" w:hAnsi="Avenir Book"/>
          <w:i/>
        </w:rPr>
      </w:pPr>
      <w:r w:rsidRPr="00480291">
        <w:rPr>
          <w:rFonts w:ascii="Avenir Book" w:hAnsi="Avenir Book"/>
        </w:rPr>
        <w:t>Come spiega lo stesso compositore, il titolo di</w:t>
      </w:r>
      <w:r w:rsidRPr="00480291">
        <w:rPr>
          <w:rFonts w:ascii="Avenir Book" w:hAnsi="Avenir Book"/>
          <w:i/>
        </w:rPr>
        <w:t xml:space="preserve"> Sequentia</w:t>
      </w:r>
      <w:r w:rsidRPr="00480291">
        <w:rPr>
          <w:rFonts w:ascii="Avenir Book" w:hAnsi="Avenir Book"/>
        </w:rPr>
        <w:t xml:space="preserve"> per organo, registrante e orchestra d’archi (2019) di Marco Uvietta </w:t>
      </w:r>
      <w:r w:rsidRPr="00480291">
        <w:rPr>
          <w:rFonts w:ascii="Avenir Book" w:hAnsi="Avenir Book"/>
          <w:i/>
        </w:rPr>
        <w:t>«si riferisce alla libertà creativa delle sequenze medievali e, oltre la specifica funzione liturgica, costituisce un particolare omaggio alle Sequenze di Luciano Berio»,</w:t>
      </w:r>
      <w:r w:rsidRPr="00480291">
        <w:rPr>
          <w:rFonts w:ascii="Avenir Book" w:hAnsi="Avenir Book"/>
        </w:rPr>
        <w:t xml:space="preserve"> una serie di brani virtuosistici che il compositore ligure dedicò a ciascun strumento. </w:t>
      </w:r>
      <w:r w:rsidRPr="00480291">
        <w:rPr>
          <w:rFonts w:ascii="Avenir Book" w:hAnsi="Avenir Book"/>
          <w:i/>
        </w:rPr>
        <w:t>«A questo si aggiunge il concetto matematico di sequenza, che assume come principio formale la logica lineare e finalistica».</w:t>
      </w:r>
    </w:p>
    <w:p w:rsidR="00871757" w:rsidRPr="00480291" w:rsidRDefault="00871757" w:rsidP="00DA1DB9">
      <w:pPr>
        <w:rPr>
          <w:rFonts w:ascii="Avenir Book" w:hAnsi="Avenir Book"/>
          <w:szCs w:val="32"/>
        </w:rPr>
      </w:pPr>
    </w:p>
    <w:p w:rsidR="00480291" w:rsidRDefault="00480291" w:rsidP="00DA1DB9">
      <w:pPr>
        <w:rPr>
          <w:rFonts w:ascii="Avenir Book" w:hAnsi="Avenir Book"/>
        </w:rPr>
      </w:pPr>
    </w:p>
    <w:p w:rsidR="00480291" w:rsidRDefault="00480291" w:rsidP="00DA1DB9">
      <w:pPr>
        <w:rPr>
          <w:rFonts w:ascii="Avenir Book" w:hAnsi="Avenir Book"/>
        </w:rPr>
      </w:pPr>
    </w:p>
    <w:p w:rsidR="00480291" w:rsidRDefault="00480291" w:rsidP="00DA1DB9">
      <w:pPr>
        <w:rPr>
          <w:rFonts w:ascii="Avenir Book" w:hAnsi="Avenir Book"/>
        </w:rPr>
      </w:pPr>
    </w:p>
    <w:p w:rsidR="00480291" w:rsidRDefault="00480291" w:rsidP="00DA1DB9">
      <w:pPr>
        <w:rPr>
          <w:rFonts w:ascii="Avenir Book" w:hAnsi="Avenir Book"/>
        </w:rPr>
      </w:pPr>
    </w:p>
    <w:p w:rsidR="00480291" w:rsidRDefault="00480291" w:rsidP="00DA1DB9">
      <w:pPr>
        <w:rPr>
          <w:rFonts w:ascii="Avenir Book" w:hAnsi="Avenir Book"/>
        </w:rPr>
      </w:pPr>
    </w:p>
    <w:p w:rsidR="00480291" w:rsidRDefault="00480291" w:rsidP="00DA1DB9">
      <w:pPr>
        <w:rPr>
          <w:rFonts w:ascii="Avenir Book" w:hAnsi="Avenir Book"/>
        </w:rPr>
      </w:pPr>
    </w:p>
    <w:p w:rsidR="00480291" w:rsidRDefault="00480291" w:rsidP="00DA1DB9">
      <w:pPr>
        <w:rPr>
          <w:rFonts w:ascii="Avenir Book" w:hAnsi="Avenir Book"/>
        </w:rPr>
      </w:pPr>
    </w:p>
    <w:p w:rsidR="00480291" w:rsidRDefault="00480291" w:rsidP="00DA1DB9">
      <w:pPr>
        <w:rPr>
          <w:rFonts w:ascii="Avenir Book" w:hAnsi="Avenir Book"/>
        </w:rPr>
      </w:pPr>
    </w:p>
    <w:p w:rsidR="00480291" w:rsidRDefault="00480291" w:rsidP="00DA1DB9">
      <w:pPr>
        <w:rPr>
          <w:rFonts w:ascii="Avenir Book" w:hAnsi="Avenir Book"/>
        </w:rPr>
      </w:pPr>
    </w:p>
    <w:p w:rsidR="00480291" w:rsidRDefault="00480291" w:rsidP="00DA1DB9">
      <w:pPr>
        <w:rPr>
          <w:rFonts w:ascii="Avenir Book" w:hAnsi="Avenir Book"/>
        </w:rPr>
      </w:pPr>
    </w:p>
    <w:p w:rsidR="00480291" w:rsidRDefault="00480291" w:rsidP="00DA1DB9">
      <w:pPr>
        <w:rPr>
          <w:rFonts w:ascii="Avenir Book" w:hAnsi="Avenir Book"/>
        </w:rPr>
      </w:pPr>
    </w:p>
    <w:p w:rsidR="00480291" w:rsidRDefault="00480291" w:rsidP="00DA1DB9">
      <w:pPr>
        <w:rPr>
          <w:rFonts w:ascii="Avenir Book" w:hAnsi="Avenir Book"/>
        </w:rPr>
      </w:pPr>
    </w:p>
    <w:p w:rsidR="00DA1DB9" w:rsidRPr="00480291" w:rsidRDefault="00DA1DB9" w:rsidP="00DA1DB9">
      <w:pPr>
        <w:rPr>
          <w:rFonts w:ascii="Avenir Book" w:hAnsi="Avenir Book"/>
        </w:rPr>
      </w:pPr>
    </w:p>
    <w:p w:rsidR="00DA1DB9" w:rsidRPr="00480291" w:rsidRDefault="00DA1DB9" w:rsidP="009B6ECE">
      <w:pPr>
        <w:jc w:val="left"/>
        <w:rPr>
          <w:rFonts w:ascii="Avenir Book" w:hAnsi="Avenir Book"/>
        </w:rPr>
      </w:pPr>
      <w:r w:rsidRPr="00480291">
        <w:rPr>
          <w:rFonts w:ascii="Avenir Book" w:hAnsi="Avenir Book"/>
        </w:rPr>
        <w:t>–––––––––––––––––––––––––––––––––––––––––––––––––––</w:t>
      </w:r>
    </w:p>
    <w:p w:rsidR="009B6ECE" w:rsidRPr="00480291" w:rsidRDefault="009B6ECE" w:rsidP="009B6ECE">
      <w:pPr>
        <w:jc w:val="left"/>
        <w:rPr>
          <w:rFonts w:ascii="Avenir Book" w:hAnsi="Avenir Book"/>
        </w:rPr>
      </w:pPr>
      <w:r w:rsidRPr="00480291">
        <w:rPr>
          <w:rFonts w:ascii="Avenir Book" w:hAnsi="Avenir Book"/>
        </w:rPr>
        <w:t xml:space="preserve">Ufficio Stampa OPV: </w:t>
      </w:r>
      <w:r w:rsidRPr="00480291">
        <w:rPr>
          <w:rFonts w:ascii="Avenir Book" w:hAnsi="Avenir Book"/>
          <w:color w:val="000000"/>
          <w:lang w:eastAsia="it-IT"/>
        </w:rPr>
        <w:t>Alberto Massarotto, 338 2165154, press@opvorchestra.it</w:t>
      </w:r>
    </w:p>
    <w:p w:rsidR="00DA1DB9" w:rsidRPr="00480291" w:rsidRDefault="009B6ECE" w:rsidP="009B6ECE">
      <w:pPr>
        <w:jc w:val="left"/>
        <w:rPr>
          <w:rFonts w:ascii="Avenir Book" w:hAnsi="Avenir Book"/>
        </w:rPr>
      </w:pPr>
      <w:r w:rsidRPr="00480291">
        <w:rPr>
          <w:rFonts w:ascii="Avenir Book" w:hAnsi="Avenir Book"/>
          <w:color w:val="000000"/>
          <w:lang w:eastAsia="it-IT"/>
        </w:rPr>
        <w:t>Ufficio Stampa Diocesi di Padova:</w:t>
      </w:r>
      <w:r w:rsidRPr="00480291">
        <w:rPr>
          <w:rFonts w:ascii="Avenir Book" w:hAnsi="Avenir Book"/>
        </w:rPr>
        <w:t xml:space="preserve"> 049 8771757</w:t>
      </w:r>
      <w:bookmarkEnd w:id="0"/>
      <w:r w:rsidR="00480291" w:rsidRPr="00480291">
        <w:rPr>
          <w:rFonts w:ascii="Avenir Book" w:hAnsi="Avenir Book"/>
        </w:rPr>
        <w:t>, ufficiostampa@diocesipadova.it</w:t>
      </w:r>
    </w:p>
    <w:sectPr w:rsidR="00DA1DB9" w:rsidRPr="00480291" w:rsidSect="00806B43">
      <w:pgSz w:w="11906" w:h="16838"/>
      <w:pgMar w:top="241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游明朝">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hdrShapeDefaults>
    <o:shapedefaults v:ext="edit" spidmax="2050"/>
  </w:hdrShapeDefaults>
  <w:compat/>
  <w:rsids>
    <w:rsidRoot w:val="00241E47"/>
    <w:rsid w:val="000407FF"/>
    <w:rsid w:val="00061544"/>
    <w:rsid w:val="000D763E"/>
    <w:rsid w:val="001A6E75"/>
    <w:rsid w:val="00241E47"/>
    <w:rsid w:val="003224F1"/>
    <w:rsid w:val="00344E02"/>
    <w:rsid w:val="00392E11"/>
    <w:rsid w:val="00480291"/>
    <w:rsid w:val="004C0B1B"/>
    <w:rsid w:val="005D0D33"/>
    <w:rsid w:val="00645D7C"/>
    <w:rsid w:val="007131D9"/>
    <w:rsid w:val="00717F6F"/>
    <w:rsid w:val="00741ED8"/>
    <w:rsid w:val="00806B43"/>
    <w:rsid w:val="00871757"/>
    <w:rsid w:val="008E7D39"/>
    <w:rsid w:val="00971152"/>
    <w:rsid w:val="009B6ECE"/>
    <w:rsid w:val="00A75FCF"/>
    <w:rsid w:val="00AB371B"/>
    <w:rsid w:val="00B15725"/>
    <w:rsid w:val="00C853E5"/>
    <w:rsid w:val="00DA1DB9"/>
    <w:rsid w:val="00DB7BBD"/>
    <w:rsid w:val="00DC33A9"/>
    <w:rsid w:val="00E068C0"/>
    <w:rsid w:val="00E663E7"/>
    <w:rsid w:val="00EB0500"/>
    <w:rsid w:val="00EB3B44"/>
    <w:rsid w:val="00F52138"/>
    <w:rsid w:val="00F835D8"/>
  </w:rsids>
  <m:mathPr>
    <m:mathFont m:val="Impact"/>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it-IT"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3E5"/>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0407FF"/>
    <w:pPr>
      <w:spacing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0407FF"/>
    <w:rPr>
      <w:rFonts w:ascii="Segoe UI" w:hAnsi="Segoe UI" w:cs="Segoe UI"/>
      <w:sz w:val="18"/>
      <w:szCs w:val="18"/>
    </w:rPr>
  </w:style>
  <w:style w:type="character" w:styleId="Collegamentoipertestuale">
    <w:name w:val="Hyperlink"/>
    <w:basedOn w:val="Caratterepredefinitoparagrafo"/>
    <w:uiPriority w:val="99"/>
    <w:unhideWhenUsed/>
    <w:rsid w:val="007131D9"/>
    <w:rPr>
      <w:color w:val="0563C1" w:themeColor="hyperlink"/>
      <w:u w:val="single"/>
    </w:rPr>
  </w:style>
  <w:style w:type="table" w:styleId="Grigliatabella">
    <w:name w:val="Table Grid"/>
    <w:basedOn w:val="Tabellanormale"/>
    <w:uiPriority w:val="39"/>
    <w:rsid w:val="004C0B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06B43"/>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semiHidden/>
    <w:rsid w:val="00806B43"/>
  </w:style>
  <w:style w:type="paragraph" w:styleId="Pidipagina">
    <w:name w:val="footer"/>
    <w:basedOn w:val="Normale"/>
    <w:link w:val="PidipaginaCarattere"/>
    <w:uiPriority w:val="99"/>
    <w:semiHidden/>
    <w:unhideWhenUsed/>
    <w:rsid w:val="00806B43"/>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semiHidden/>
    <w:rsid w:val="00806B43"/>
  </w:style>
  <w:style w:type="character" w:styleId="Collegamentovisitato">
    <w:name w:val="FollowedHyperlink"/>
    <w:basedOn w:val="Caratterepredefinitoparagrafo"/>
    <w:uiPriority w:val="99"/>
    <w:semiHidden/>
    <w:unhideWhenUsed/>
    <w:rsid w:val="009B6EC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8672738">
      <w:bodyDiv w:val="1"/>
      <w:marLeft w:val="0"/>
      <w:marRight w:val="0"/>
      <w:marTop w:val="0"/>
      <w:marBottom w:val="0"/>
      <w:divBdr>
        <w:top w:val="none" w:sz="0" w:space="0" w:color="auto"/>
        <w:left w:val="none" w:sz="0" w:space="0" w:color="auto"/>
        <w:bottom w:val="none" w:sz="0" w:space="0" w:color="auto"/>
        <w:right w:val="none" w:sz="0" w:space="0" w:color="auto"/>
      </w:divBdr>
    </w:div>
    <w:div w:id="8905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Macintosh Word</Application>
  <DocSecurity>0</DocSecurity>
  <Lines>26</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Donata Raccagni</cp:lastModifiedBy>
  <cp:revision>2</cp:revision>
  <cp:lastPrinted>2018-06-21T15:59:00Z</cp:lastPrinted>
  <dcterms:created xsi:type="dcterms:W3CDTF">2019-09-02T15:48:00Z</dcterms:created>
  <dcterms:modified xsi:type="dcterms:W3CDTF">2019-09-02T15:48:00Z</dcterms:modified>
</cp:coreProperties>
</file>